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EC3013"/>
          <w:sz w:val="19"/>
        </w:rPr>
        <w:t>MY IB HUB</w:t>
      </w:r>
    </w:p>
    <w:p>
      <w:pPr>
        <w:spacing w:after="40"/>
      </w:pPr>
      <w:r>
        <w:rPr>
          <w:b/>
          <w:color w:val="2D2B2B"/>
          <w:sz w:val="40"/>
        </w:rPr>
        <w:t>GRASPS Summative Task Planner</w:t>
      </w:r>
    </w:p>
    <w:p>
      <w:pPr>
        <w:spacing w:after="240"/>
      </w:pPr>
      <w:r>
        <w:rPr>
          <w:i/>
          <w:color w:val="63605F"/>
          <w:sz w:val="19"/>
        </w:rPr>
        <w:t>Fill in each field below and delete the italic prompts. Companion to Chapter 17 of the Unit Planning Series.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304"/>
            <w:shd w:fill="eae9e9"/>
          </w:tcPr>
          <w:p>
            <w:r/>
            <w:r>
              <w:rPr>
                <w:b/>
                <w:color w:val="2D2B2B"/>
                <w:sz w:val="19"/>
              </w:rPr>
              <w:t>Unit title</w:t>
            </w:r>
          </w:p>
        </w:tc>
        <w:tc>
          <w:tcPr>
            <w:tcW w:type="dxa" w:w="3312"/>
            <w:tcBorders>
              <w:bottom w:val="single" w:sz="4" w:color="d8d5d4"/>
            </w:tcBorders>
          </w:tcPr>
          <w:p>
            <w:r/>
            <w:r/>
          </w:p>
        </w:tc>
        <w:tc>
          <w:tcPr>
            <w:tcW w:type="dxa" w:w="2160"/>
            <w:shd w:fill="eae9e9"/>
          </w:tcPr>
          <w:p>
            <w:r/>
            <w:r>
              <w:rPr>
                <w:b/>
                <w:color w:val="2D2B2B"/>
                <w:sz w:val="19"/>
              </w:rPr>
              <w:t>MYP year</w:t>
            </w:r>
          </w:p>
        </w:tc>
        <w:tc>
          <w:tcPr>
            <w:tcW w:type="dxa" w:w="2160"/>
            <w:tcBorders>
              <w:bottom w:val="single" w:sz="4" w:color="d8d5d4"/>
            </w:tcBorders>
          </w:tcPr>
          <w:p>
            <w:r/>
            <w:r/>
          </w:p>
        </w:tc>
      </w:tr>
      <w:tr>
        <w:tc>
          <w:tcPr>
            <w:tcW w:type="dxa" w:w="2304"/>
            <w:shd w:fill="eae9e9"/>
          </w:tcPr>
          <w:p>
            <w:r/>
            <w:r>
              <w:rPr>
                <w:b/>
                <w:color w:val="2D2B2B"/>
                <w:sz w:val="19"/>
              </w:rPr>
              <w:t>Subject group</w:t>
            </w:r>
          </w:p>
        </w:tc>
        <w:tc>
          <w:tcPr>
            <w:tcW w:type="dxa" w:w="3312"/>
            <w:tcBorders>
              <w:bottom w:val="single" w:sz="4" w:color="d8d5d4"/>
            </w:tcBorders>
          </w:tcPr>
          <w:p>
            <w:r/>
            <w:r/>
          </w:p>
        </w:tc>
        <w:tc>
          <w:tcPr>
            <w:tcW w:type="dxa" w:w="2160"/>
            <w:shd w:fill="eae9e9"/>
          </w:tcPr>
          <w:p>
            <w:r/>
            <w:r>
              <w:rPr>
                <w:b/>
                <w:color w:val="2D2B2B"/>
                <w:sz w:val="19"/>
              </w:rPr>
              <w:t>Assessment criteria strands</w:t>
            </w:r>
          </w:p>
        </w:tc>
        <w:tc>
          <w:tcPr>
            <w:tcW w:type="dxa" w:w="2160"/>
            <w:tcBorders>
              <w:bottom w:val="single" w:sz="4" w:color="d8d5d4"/>
            </w:tcBorders>
          </w:tcPr>
          <w:p>
            <w:r/>
            <w:r/>
          </w:p>
        </w:tc>
      </w:tr>
    </w:tbl>
    <w:p>
      <w:pPr>
        <w:spacing w:after="40"/>
      </w:pPr>
    </w:p>
    <w:p>
      <w:pPr>
        <w:pStyle w:val="Heading1"/>
        <w:pBdr>
          <w:bottom w:val="single" w:sz="10" w:space="4" w:color="ec3013"/>
        </w:pBdr>
        <w:spacing w:before="280"/>
      </w:pPr>
      <w:r>
        <w:t>Step 1 — Build the Scenario (GRASPS)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736"/>
            <w:shd w:fill="2d2b2b"/>
          </w:tcPr>
          <w:p>
            <w:r>
              <w:rPr>
                <w:b/>
                <w:color w:val="FFFFFF"/>
                <w:sz w:val="20"/>
              </w:rPr>
              <w:t>Element</w:t>
            </w:r>
          </w:p>
        </w:tc>
        <w:tc>
          <w:tcPr>
            <w:tcW w:type="dxa" w:w="7056"/>
            <w:shd w:fill="2d2b2b"/>
          </w:tcPr>
          <w:p>
            <w:r>
              <w:rPr>
                <w:b/>
                <w:color w:val="FFFFFF"/>
                <w:sz w:val="20"/>
              </w:rPr>
              <w:t>Your Answer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G — Goal</w:t>
            </w:r>
          </w:p>
          <w:p>
            <w:r>
              <w:rPr>
                <w:i/>
                <w:color w:val="63605F"/>
                <w:sz w:val="17"/>
              </w:rPr>
              <w:t>The real-world challenge students must solve.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R — Role</w:t>
            </w:r>
          </w:p>
          <w:p>
            <w:r>
              <w:rPr>
                <w:i/>
                <w:color w:val="63605F"/>
                <w:sz w:val="17"/>
              </w:rPr>
              <w:t>The student's professional persona.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A — Audience</w:t>
            </w:r>
          </w:p>
          <w:p>
            <w:r>
              <w:rPr>
                <w:i/>
                <w:color w:val="63605F"/>
                <w:sz w:val="17"/>
              </w:rPr>
              <w:t>Who receives the final product.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S — Situation</w:t>
            </w:r>
          </w:p>
          <w:p>
            <w:r>
              <w:rPr>
                <w:i/>
                <w:color w:val="63605F"/>
                <w:sz w:val="17"/>
              </w:rPr>
              <w:t>The specific Global Context scenario.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P — Product / Performance</w:t>
            </w:r>
          </w:p>
          <w:p>
            <w:r>
              <w:rPr>
                <w:i/>
                <w:color w:val="63605F"/>
                <w:sz w:val="17"/>
              </w:rPr>
              <w:t>What students create.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sz w:val="20"/>
              </w:rPr>
              <w:t>S — Standards</w:t>
            </w:r>
          </w:p>
          <w:p>
            <w:r>
              <w:rPr>
                <w:i/>
                <w:color w:val="63605F"/>
                <w:sz w:val="17"/>
              </w:rPr>
              <w:t>Which MYP criteria evaluate it.</w:t>
            </w:r>
          </w:p>
        </w:tc>
        <w:tc>
          <w:tcPr>
            <w:tcW w:type="dxa" w:w="7056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</w:tbl>
    <w:p>
      <w:pPr>
        <w:spacing w:after="80"/>
      </w:pPr>
    </w:p>
    <w:p>
      <w:pPr>
        <w:pStyle w:val="Heading1"/>
        <w:pBdr>
          <w:bottom w:val="single" w:sz="10" w:space="4" w:color="ec3013"/>
        </w:pBdr>
        <w:spacing w:before="280"/>
      </w:pPr>
      <w:r>
        <w:t>Step 2 — Alignment Check</w:t>
      </w:r>
    </w:p>
    <w:p>
      <w:pPr>
        <w:spacing w:before="160" w:after="40"/>
      </w:pPr>
      <w:r>
        <w:rPr>
          <w:b/>
          <w:color w:val="2D2B2B"/>
          <w:sz w:val="21"/>
        </w:rPr>
        <w:t>Statement of Inquiry this task must prove: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If a student completes this perfectly, have they proven the SOI — or just shown a good memory?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pStyle w:val="Heading1"/>
        <w:pBdr>
          <w:bottom w:val="single" w:sz="10" w:space="4" w:color="ec3013"/>
        </w:pBdr>
        <w:spacing w:before="280"/>
      </w:pPr>
      <w:r>
        <w:t>Step 3 — Task-Specific Clarifications</w:t>
      </w:r>
    </w:p>
    <w:p>
      <w:pPr>
        <w:spacing w:before="80"/>
      </w:pPr>
      <w:r>
        <w:rPr>
          <w:i/>
          <w:color w:val="63605F"/>
          <w:sz w:val="18"/>
        </w:rPr>
        <w:t>Translate the generic IB descriptor into this assignment's exact context — without lowering the standard. Worked example from Chapter 17: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896"/>
            <w:shd w:fill="2d2b2b"/>
          </w:tcPr>
          <w:p>
            <w:r>
              <w:rPr>
                <w:b/>
                <w:color w:val="FFFFFF"/>
                <w:sz w:val="20"/>
              </w:rPr>
              <w:t>Generic MYP descriptor</w:t>
            </w:r>
          </w:p>
        </w:tc>
        <w:tc>
          <w:tcPr>
            <w:tcW w:type="dxa" w:w="4896"/>
            <w:shd w:fill="2d2b2b"/>
          </w:tcPr>
          <w:p>
            <w:r>
              <w:rPr>
                <w:b/>
                <w:color w:val="FFFFFF"/>
                <w:sz w:val="20"/>
              </w:rPr>
              <w:t>Task-specific version</w:t>
            </w:r>
          </w:p>
        </w:tc>
      </w:tr>
      <w:tr>
        <w:tc>
          <w:tcPr>
            <w:tcW w:type="dxa" w:w="4968"/>
          </w:tcPr>
          <w:p>
            <w:r>
              <w:rPr>
                <w:i/>
                <w:color w:val="63605F"/>
                <w:sz w:val="19"/>
              </w:rPr>
              <w:t>“Communicates effectively, using a wide range of terminology.”</w:t>
            </w:r>
          </w:p>
        </w:tc>
        <w:tc>
          <w:tcPr>
            <w:tcW w:type="dxa" w:w="4968"/>
          </w:tcPr>
          <w:p>
            <w:r>
              <w:rPr>
                <w:i/>
                <w:color w:val="63605F"/>
                <w:sz w:val="19"/>
              </w:rPr>
              <w:t>“Writes a persuasive museum placard, accurately using at least 5 specific historical terms.”</w:t>
            </w:r>
          </w:p>
        </w:tc>
      </w:tr>
      <w:tr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  <w:tc>
          <w:tcPr>
            <w:tcW w:type="dxa" w:w="4968"/>
            <w:tcBorders>
              <w:bottom w:val="single" w:sz="4" w:color="d8d5d4"/>
            </w:tcBorders>
          </w:tcPr>
          <w:p>
            <w:r>
              <w:t xml:space="preserve"> </w:t>
            </w:r>
          </w:p>
        </w:tc>
      </w:tr>
    </w:tbl>
    <w:p>
      <w:pPr>
        <w:spacing w:after="80"/>
      </w:pPr>
    </w:p>
    <w:p>
      <w:pPr>
        <w:pStyle w:val="Heading1"/>
        <w:pBdr>
          <w:bottom w:val="single" w:sz="10" w:space="4" w:color="ec3013"/>
        </w:pBdr>
        <w:spacing w:before="280"/>
      </w:pPr>
      <w:r>
        <w:t>Step 4 — Scaffolds</w:t>
      </w:r>
    </w:p>
    <w:p>
      <w:pPr>
        <w:spacing w:before="160" w:after="40"/>
      </w:pPr>
      <w:r>
        <w:rPr>
          <w:b/>
          <w:color w:val="2D2B2B"/>
          <w:sz w:val="21"/>
        </w:rPr>
        <w:t>Word limits: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Visual matrices / graphic organizers: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160" w:after="40"/>
      </w:pPr>
      <w:r>
        <w:rPr>
          <w:b/>
          <w:color w:val="2D2B2B"/>
          <w:sz w:val="21"/>
        </w:rPr>
        <w:t>Sentence frames: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before="80"/>
      </w:pPr>
      <w:r>
        <w:rPr>
          <w:i/>
          <w:color w:val="63605F"/>
          <w:sz w:val="18"/>
        </w:rPr>
        <w:t>Be transparent with students that heavy structuring affects access to the highest, independence-demanding bands.</w:t>
      </w:r>
    </w:p>
    <w:p>
      <w:pPr>
        <w:pStyle w:val="Heading1"/>
        <w:pBdr>
          <w:bottom w:val="single" w:sz="10" w:space="4" w:color="ec3013"/>
        </w:pBdr>
        <w:spacing w:before="280"/>
      </w:pPr>
      <w:r>
        <w:t>Step 5 — Formative Alignment</w:t>
      </w:r>
    </w:p>
    <w:p>
      <w:pPr>
        <w:spacing w:before="160" w:after="40"/>
      </w:pPr>
      <w:r>
        <w:rPr>
          <w:b/>
          <w:color w:val="2D2B2B"/>
          <w:sz w:val="21"/>
        </w:rPr>
        <w:t>What formative practice will directly rehearse this final task's actual demands?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p>
      <w:pPr>
        <w:spacing w:after="200"/>
        <w:pBdr>
          <w:bottom w:val="single" w:sz="6" w:space="4" w:color="d8d5d4"/>
        </w:pBdr>
      </w:pPr>
      <w:r>
        <w:rPr>
          <w:sz w:val="21"/>
        </w:rPr>
        <w:t xml:space="preserve"> 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63605F"/>
        <w:sz w:val="16"/>
      </w:rPr>
      <w:t>My IB Hub — Unit Planning Series · Independent educator resource, not affiliated with the IB Organization.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D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2B2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2B2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GRASPS Summative Task Planner</dc:title>
  <dc:subject/>
  <dc:creator>Pham Nguyen Minh Hieu — My IB Hub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