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EC3013"/>
          <w:sz w:val="19"/>
        </w:rPr>
        <w:t>MY IB HUB</w:t>
      </w:r>
    </w:p>
    <w:p>
      <w:pPr>
        <w:spacing w:after="40"/>
      </w:pPr>
      <w:r>
        <w:rPr>
          <w:b/>
          <w:color w:val="2D2B2B"/>
          <w:sz w:val="40"/>
        </w:rPr>
        <w:t>Post-Unit Reflection &amp; Annual Audit Sheet</w:t>
      </w:r>
    </w:p>
    <w:p>
      <w:pPr>
        <w:spacing w:after="240"/>
      </w:pPr>
      <w:r>
        <w:rPr>
          <w:i/>
          <w:color w:val="63605F"/>
          <w:sz w:val="19"/>
        </w:rPr>
        <w:t>Fill in each field below and delete the italic prompts. Companion to Chapters 19–20 of the Unit Planning Series.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304"/>
            <w:shd w:fill="eae9e9"/>
          </w:tcPr>
          <w:p>
            <w:r/>
            <w:r>
              <w:rPr>
                <w:b/>
                <w:color w:val="2D2B2B"/>
                <w:sz w:val="19"/>
              </w:rPr>
              <w:t>Unit title</w:t>
            </w:r>
          </w:p>
        </w:tc>
        <w:tc>
          <w:tcPr>
            <w:tcW w:type="dxa" w:w="3312"/>
            <w:tcBorders>
              <w:bottom w:val="single" w:sz="4" w:color="d8d5d4"/>
            </w:tcBorders>
          </w:tcPr>
          <w:p>
            <w:r/>
            <w:r/>
          </w:p>
        </w:tc>
        <w:tc>
          <w:tcPr>
            <w:tcW w:type="dxa" w:w="2160"/>
            <w:shd w:fill="eae9e9"/>
          </w:tcPr>
          <w:p>
            <w:r/>
            <w:r>
              <w:rPr>
                <w:b/>
                <w:color w:val="2D2B2B"/>
                <w:sz w:val="19"/>
              </w:rPr>
              <w:t>MYP year</w:t>
            </w:r>
          </w:p>
        </w:tc>
        <w:tc>
          <w:tcPr>
            <w:tcW w:type="dxa" w:w="2160"/>
            <w:tcBorders>
              <w:bottom w:val="single" w:sz="4" w:color="d8d5d4"/>
            </w:tcBorders>
          </w:tcPr>
          <w:p>
            <w:r/>
            <w:r/>
          </w:p>
        </w:tc>
      </w:tr>
      <w:tr>
        <w:tc>
          <w:tcPr>
            <w:tcW w:type="dxa" w:w="2304"/>
            <w:shd w:fill="eae9e9"/>
          </w:tcPr>
          <w:p>
            <w:r/>
            <w:r>
              <w:rPr>
                <w:b/>
                <w:color w:val="2D2B2B"/>
                <w:sz w:val="19"/>
              </w:rPr>
              <w:t>Teacher(s)</w:t>
            </w:r>
          </w:p>
        </w:tc>
        <w:tc>
          <w:tcPr>
            <w:tcW w:type="dxa" w:w="3312"/>
            <w:tcBorders>
              <w:bottom w:val="single" w:sz="4" w:color="d8d5d4"/>
            </w:tcBorders>
          </w:tcPr>
          <w:p>
            <w:r/>
            <w:r/>
          </w:p>
        </w:tc>
        <w:tc>
          <w:tcPr>
            <w:tcW w:type="dxa" w:w="2160"/>
            <w:shd w:fill="eae9e9"/>
          </w:tcPr>
          <w:p>
            <w:r/>
            <w:r>
              <w:rPr>
                <w:b/>
                <w:color w:val="2D2B2B"/>
                <w:sz w:val="19"/>
              </w:rPr>
              <w:t>Subject group</w:t>
            </w:r>
          </w:p>
        </w:tc>
        <w:tc>
          <w:tcPr>
            <w:tcW w:type="dxa" w:w="2160"/>
            <w:tcBorders>
              <w:bottom w:val="single" w:sz="4" w:color="d8d5d4"/>
            </w:tcBorders>
          </w:tcPr>
          <w:p>
            <w:r/>
            <w:r/>
          </w:p>
        </w:tc>
      </w:tr>
      <w:tr>
        <w:tc>
          <w:tcPr>
            <w:tcW w:type="dxa" w:w="2304"/>
            <w:shd w:fill="eae9e9"/>
          </w:tcPr>
          <w:p>
            <w:r/>
            <w:r>
              <w:rPr>
                <w:b/>
                <w:color w:val="2D2B2B"/>
                <w:sz w:val="19"/>
              </w:rPr>
              <w:t>Date completed</w:t>
            </w:r>
          </w:p>
        </w:tc>
        <w:tc>
          <w:tcPr>
            <w:tcW w:type="dxa" w:w="3312"/>
            <w:tcBorders>
              <w:bottom w:val="single" w:sz="4" w:color="d8d5d4"/>
            </w:tcBorders>
          </w:tcPr>
          <w:p>
            <w:r/>
            <w:r/>
          </w:p>
        </w:tc>
        <w:tc>
          <w:tcPr>
            <w:tcW w:type="dxa" w:w="2160"/>
            <w:shd w:fill="eae9e9"/>
          </w:tcPr>
          <w:p>
            <w:r/>
            <w:r>
              <w:rPr>
                <w:b/>
                <w:color w:val="2D2B2B"/>
                <w:sz w:val="19"/>
              </w:rPr>
              <w:t>Shared with team? (Y/N)</w:t>
            </w:r>
          </w:p>
        </w:tc>
        <w:tc>
          <w:tcPr>
            <w:tcW w:type="dxa" w:w="2160"/>
            <w:tcBorders>
              <w:bottom w:val="single" w:sz="4" w:color="d8d5d4"/>
            </w:tcBorders>
          </w:tcPr>
          <w:p>
            <w:r/>
            <w:r/>
          </w:p>
        </w:tc>
      </w:tr>
    </w:tbl>
    <w:p>
      <w:pPr>
        <w:spacing w:after="40"/>
      </w:pPr>
    </w:p>
    <w:p>
      <w:pPr>
        <w:pStyle w:val="Heading1"/>
        <w:pBdr>
          <w:bottom w:val="single" w:sz="10" w:space="4" w:color="ec3013"/>
        </w:pBdr>
        <w:spacing w:before="280"/>
      </w:pPr>
      <w:r>
        <w:t>Part 1 — Immediate Post-Unit Reflection (After Teaching)</w:t>
      </w:r>
    </w:p>
    <w:p>
      <w:pPr>
        <w:spacing w:before="160" w:after="40"/>
      </w:pPr>
      <w:r>
        <w:rPr>
          <w:b/>
          <w:color w:val="2D2B2B"/>
          <w:sz w:val="21"/>
        </w:rPr>
        <w:t>Student debrief:</w:t>
      </w:r>
      <w:r>
        <w:rPr>
          <w:i/>
          <w:color w:val="63605F"/>
          <w:sz w:val="18"/>
        </w:rPr>
        <w:t xml:space="preserve">  which visible thinking routine did you use, and what did students say?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before="160" w:after="40"/>
      </w:pPr>
      <w:r>
        <w:rPr>
          <w:b/>
          <w:color w:val="2D2B2B"/>
          <w:sz w:val="21"/>
        </w:rPr>
        <w:t>ATL self-assessment spread:</w:t>
      </w:r>
      <w:r>
        <w:rPr>
          <w:i/>
          <w:color w:val="63605F"/>
          <w:sz w:val="18"/>
        </w:rPr>
        <w:t xml:space="preserve">  roughly how many students placed themselves at Novice / Learner / Practitioner / Expert on the targeted skill(s)?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before="160" w:after="40"/>
      </w:pPr>
      <w:r>
        <w:rPr>
          <w:b/>
          <w:color w:val="2D2B2B"/>
          <w:sz w:val="21"/>
        </w:rPr>
        <w:t>Achievement-level analysis:</w:t>
      </w:r>
      <w:r>
        <w:rPr>
          <w:i/>
          <w:color w:val="63605F"/>
          <w:sz w:val="18"/>
        </w:rPr>
        <w:t xml:space="preserve">  where did students struggle, and was it the content, the concept, or the task design?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before="160" w:after="40"/>
      </w:pPr>
      <w:r>
        <w:rPr>
          <w:b/>
          <w:color w:val="2D2B2B"/>
          <w:sz w:val="21"/>
        </w:rPr>
        <w:t>“After teaching” planner notes:</w:t>
      </w:r>
      <w:r>
        <w:rPr>
          <w:i/>
          <w:color w:val="63605F"/>
          <w:sz w:val="18"/>
        </w:rPr>
        <w:t xml:space="preserve">  what will you do differently next time?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before="160" w:after="40"/>
      </w:pPr>
      <w:r>
        <w:rPr>
          <w:b/>
          <w:color w:val="2D2B2B"/>
          <w:sz w:val="21"/>
        </w:rPr>
        <w:t>Shared with subject-group team on:</w:t>
      </w:r>
      <w:r>
        <w:rPr>
          <w:i/>
          <w:color w:val="63605F"/>
          <w:sz w:val="18"/>
        </w:rPr>
        <w:t xml:space="preserve">  key points raised in the discussion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pStyle w:val="Heading1"/>
        <w:pBdr>
          <w:bottom w:val="single" w:sz="10" w:space="4" w:color="ec3013"/>
        </w:pBdr>
        <w:spacing w:before="280"/>
      </w:pPr>
      <w:r>
        <w:t>Part 2 — Annual Curriculum Audit (Before Next Delivery)</w:t>
      </w:r>
    </w:p>
    <w:p>
      <w:pPr>
        <w:spacing w:before="160" w:after="40"/>
      </w:pPr>
      <w:r>
        <w:rPr>
          <w:b/>
          <w:color w:val="2D2B2B"/>
          <w:sz w:val="21"/>
        </w:rPr>
        <w:t>Data gathered:</w:t>
      </w:r>
      <w:r>
        <w:rPr>
          <w:i/>
          <w:color w:val="63605F"/>
          <w:sz w:val="18"/>
        </w:rPr>
        <w:t xml:space="preserve">  results, anecdotal notes, student surveys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before="160" w:after="40"/>
      </w:pPr>
      <w:r>
        <w:rPr>
          <w:b/>
          <w:color w:val="2D2B2B"/>
          <w:sz w:val="21"/>
        </w:rPr>
        <w:t>Alignment check:</w:t>
      </w:r>
      <w:r>
        <w:rPr>
          <w:i/>
          <w:color w:val="63605F"/>
          <w:sz w:val="18"/>
        </w:rPr>
        <w:t xml:space="preserve">  is the summative still authentic and SOI-linked?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before="160" w:after="40"/>
      </w:pPr>
      <w:r>
        <w:rPr>
          <w:b/>
          <w:color w:val="2D2B2B"/>
          <w:sz w:val="21"/>
        </w:rPr>
        <w:t>ATL audit:</w:t>
      </w:r>
      <w:r>
        <w:rPr>
          <w:i/>
          <w:color w:val="63605F"/>
          <w:sz w:val="18"/>
        </w:rPr>
        <w:t xml:space="preserve">  were the assessed skills actually explicitly taught, not just listed?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before="160" w:after="40"/>
      </w:pPr>
      <w:r>
        <w:rPr>
          <w:b/>
          <w:color w:val="2D2B2B"/>
          <w:sz w:val="21"/>
        </w:rPr>
        <w:t>Scaffold refinements:</w:t>
      </w:r>
      <w:r>
        <w:rPr>
          <w:i/>
          <w:color w:val="63605F"/>
          <w:sz w:val="18"/>
        </w:rPr>
        <w:t xml:space="preserve">  based on this year's diverse-learner performance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before="160" w:after="40"/>
      </w:pPr>
      <w:r>
        <w:rPr>
          <w:b/>
          <w:color w:val="2D2B2B"/>
          <w:sz w:val="21"/>
        </w:rPr>
        <w:t>Overview updated?</w:t>
      </w:r>
      <w:r>
        <w:rPr>
          <w:i/>
          <w:color w:val="63605F"/>
          <w:sz w:val="18"/>
        </w:rPr>
        <w:t xml:space="preserve">  note any change to concepts, context, or ATL focus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before="160" w:after="40"/>
      </w:pPr>
      <w:r>
        <w:rPr>
          <w:b/>
          <w:color w:val="2D2B2B"/>
          <w:sz w:val="21"/>
        </w:rPr>
        <w:t>Articulation notes:</w:t>
      </w:r>
      <w:r>
        <w:rPr>
          <w:i/>
          <w:color w:val="63605F"/>
          <w:sz w:val="18"/>
        </w:rPr>
        <w:t xml:space="preserve">  horizontal (across the year level) and vertical (Year 1–5 progression)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pStyle w:val="Heading1"/>
        <w:pBdr>
          <w:bottom w:val="single" w:sz="10" w:space="4" w:color="ec3013"/>
        </w:pBdr>
        <w:spacing w:before="280"/>
      </w:pPr>
      <w:r>
        <w:t>Unit Quality Self-Rating (Building Quality Curriculum scale)</w:t>
      </w:r>
    </w:p>
    <w:p>
      <w:r>
        <w:rPr>
          <w:color w:val="2D2B2B"/>
          <w:sz w:val="21"/>
        </w:rPr>
        <w:t>☐ Emergent — substantial revision needed</w:t>
      </w:r>
      <w:r>
        <w:rPr>
          <w:color w:val="2D2B2B"/>
          <w:sz w:val="21"/>
        </w:rPr>
        <w:t xml:space="preserve">   ☐ Capable — confident, aligned planning</w:t>
      </w:r>
      <w:r>
        <w:rPr>
          <w:color w:val="2D2B2B"/>
          <w:sz w:val="21"/>
        </w:rPr>
        <w:t xml:space="preserve">   ☐ Exemplary — a model of good practice</w:t>
      </w:r>
    </w:p>
    <w:p>
      <w:pPr>
        <w:spacing w:before="160" w:after="40"/>
      </w:pPr>
      <w:r>
        <w:rPr>
          <w:b/>
          <w:color w:val="2D2B2B"/>
          <w:sz w:val="21"/>
        </w:rPr>
        <w:t>Evidence for this rating: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before="80"/>
      </w:pPr>
      <w:r>
        <w:rPr>
          <w:i/>
          <w:color w:val="63605F"/>
          <w:sz w:val="18"/>
        </w:rPr>
        <w:t>Reflection is not a post-mortem — keep the planner open and add real-time notes during teaching, not only after grades are submitted.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color w:val="63605F"/>
        <w:sz w:val="16"/>
      </w:rPr>
      <w:t>My IB Hub — Unit Planning Series · Independent educator resource, not affiliated with the IB Organization.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D2B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2D2B2B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2D2B2B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Post-Unit Reflection &amp; Annual Audit Sheet</dc:title>
  <dc:subject/>
  <dc:creator>Pham Nguyen Minh Hieu — My IB Hub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